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1" w:rsidRPr="009C3E83" w:rsidRDefault="001524C1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</w:rPr>
      </w:pPr>
      <w:r w:rsidRPr="009C3E83">
        <w:rPr>
          <w:rFonts w:ascii="Microsoft Sans Serif" w:eastAsia="Times New Roman" w:hAnsi="Microsoft Sans Serif" w:cs="Microsoft Sans Serif"/>
          <w:b/>
          <w:bCs/>
          <w:color w:val="60497A"/>
        </w:rPr>
        <w:t>TABLA DE APLICABILIDAD DE LAS OBLIGACIONES DE TRANSPARENCIA DEL SUJETO OBLIGADO:</w:t>
      </w:r>
    </w:p>
    <w:p w:rsidR="009A4731" w:rsidRPr="009C3E83" w:rsidRDefault="0062194F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  <w:r w:rsidRPr="009C3E83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>PODER LEGISLATIVO</w:t>
      </w:r>
      <w:r w:rsidR="009A4731" w:rsidRPr="009C3E83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 xml:space="preserve"> </w:t>
      </w:r>
    </w:p>
    <w:p w:rsidR="001524C1" w:rsidRPr="009C3E83" w:rsidRDefault="009A4731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  <w:r w:rsidRPr="009C3E83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>CONGRESO DEL ESTADO DE TLAXCALA</w:t>
      </w:r>
    </w:p>
    <w:p w:rsidR="00A23D8F" w:rsidRPr="009C3E83" w:rsidRDefault="00857342" w:rsidP="00E23A0A">
      <w:pPr>
        <w:jc w:val="center"/>
        <w:rPr>
          <w:rFonts w:ascii="Microsoft Sans Serif" w:hAnsi="Microsoft Sans Serif" w:cs="Microsoft Sans Serif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0"/>
        <w:gridCol w:w="2290"/>
        <w:gridCol w:w="1194"/>
        <w:gridCol w:w="1345"/>
        <w:gridCol w:w="1644"/>
        <w:gridCol w:w="2093"/>
      </w:tblGrid>
      <w:tr w:rsidR="001524C1" w:rsidRPr="009C3E83" w:rsidTr="00DE75CF">
        <w:trPr>
          <w:trHeight w:val="73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524C1" w:rsidRPr="009C3E83" w:rsidRDefault="001524C1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9C3E8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los sujetos obligados Artículo 63 de la Ley de Transparencia y Acceso a la Información Pública del Estado de Tlaxcala</w:t>
            </w:r>
          </w:p>
        </w:tc>
      </w:tr>
      <w:tr w:rsidR="001524C1" w:rsidRPr="009C3E83" w:rsidTr="00DE75CF">
        <w:trPr>
          <w:trHeight w:val="435"/>
        </w:trPr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1524C1" w:rsidRPr="009C3E83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1524C1" w:rsidRPr="009C3E83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1" w:type="pct"/>
            <w:gridSpan w:val="4"/>
            <w:shd w:val="clear" w:color="auto" w:fill="E5DFEC" w:themeFill="accent4" w:themeFillTint="33"/>
            <w:vAlign w:val="center"/>
          </w:tcPr>
          <w:p w:rsidR="001524C1" w:rsidRPr="009C3E83" w:rsidRDefault="002643C6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A1DFC" w:rsidRPr="009C3E83" w:rsidTr="00DE75CF"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CA1DFC" w:rsidRPr="009C3E83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CA1DFC" w:rsidRPr="009C3E83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CA1DFC" w:rsidRPr="009C3E83" w:rsidRDefault="00CA1DFC" w:rsidP="00F25EA0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CA1DFC" w:rsidRPr="009C3E83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CA1DFC" w:rsidRPr="009C3E83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1" w:type="pct"/>
            <w:shd w:val="clear" w:color="auto" w:fill="E5DFEC" w:themeFill="accent4" w:themeFillTint="33"/>
            <w:vAlign w:val="center"/>
          </w:tcPr>
          <w:p w:rsidR="00CA1DFC" w:rsidRPr="009C3E83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E64A95" w:rsidRPr="009C3E83" w:rsidTr="00DE75CF">
        <w:tc>
          <w:tcPr>
            <w:tcW w:w="904" w:type="pct"/>
            <w:vMerge w:val="restart"/>
            <w:vAlign w:val="center"/>
          </w:tcPr>
          <w:p w:rsidR="00E64A95" w:rsidRPr="009C3E83" w:rsidRDefault="0062194F" w:rsidP="00CA1DFC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Poder Legislativo</w:t>
            </w:r>
          </w:p>
        </w:tc>
        <w:tc>
          <w:tcPr>
            <w:tcW w:w="1095" w:type="pct"/>
            <w:vMerge w:val="restart"/>
            <w:vAlign w:val="center"/>
          </w:tcPr>
          <w:p w:rsidR="00E64A95" w:rsidRPr="009C3E83" w:rsidRDefault="0062194F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Congreso del E</w:t>
            </w:r>
            <w:r w:rsidR="00000DE7" w:rsidRPr="009C3E83">
              <w:rPr>
                <w:rFonts w:ascii="Microsoft Sans Serif" w:hAnsi="Microsoft Sans Serif" w:cs="Microsoft Sans Serif"/>
              </w:rPr>
              <w:t>stado de Tlaxcala</w:t>
            </w:r>
          </w:p>
          <w:p w:rsidR="00BD2716" w:rsidRPr="009C3E83" w:rsidRDefault="00BD2716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  <w:p w:rsidR="00BD2716" w:rsidRPr="009C3E83" w:rsidRDefault="00BD2716" w:rsidP="009A473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II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III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IV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9C3E83" w:rsidP="00EB5BA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V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9C3E83" w:rsidP="009C3E8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VI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9C3E83" w:rsidP="00EB5BA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VII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VIII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9C3E83" w:rsidP="00EB5BA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IX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XII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XIII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XIV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XV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(a-q)</w:t>
            </w: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XVI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XVII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XVIII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XIX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  <w:r w:rsidR="009C3E83">
              <w:rPr>
                <w:rFonts w:ascii="Microsoft Sans Serif" w:hAnsi="Microsoft Sans Serif" w:cs="Microsoft Sans Serif"/>
              </w:rPr>
              <w:t xml:space="preserve"> y anual respecto del presupuesto anual asignado y la cuenta pública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XXII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9A473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 xml:space="preserve">No </w:t>
            </w:r>
            <w:r w:rsidR="00E64A95"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XXIII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XXIV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XXV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 xml:space="preserve">Anual 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XXVI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XXVII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9C3E83" w:rsidTr="00DE75CF">
        <w:tc>
          <w:tcPr>
            <w:tcW w:w="904" w:type="pct"/>
            <w:vMerge/>
          </w:tcPr>
          <w:p w:rsidR="00E64A95" w:rsidRPr="009C3E83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XXVIII</w:t>
            </w:r>
          </w:p>
        </w:tc>
        <w:tc>
          <w:tcPr>
            <w:tcW w:w="643" w:type="pct"/>
            <w:vAlign w:val="center"/>
          </w:tcPr>
          <w:p w:rsidR="00E64A95" w:rsidRPr="009C3E83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(a-b)</w:t>
            </w:r>
          </w:p>
        </w:tc>
        <w:tc>
          <w:tcPr>
            <w:tcW w:w="786" w:type="pct"/>
            <w:vAlign w:val="center"/>
          </w:tcPr>
          <w:p w:rsidR="00E64A95" w:rsidRPr="009C3E83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64A95" w:rsidRPr="009C3E83" w:rsidRDefault="00E64A95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</w:tbl>
    <w:p w:rsidR="00DE75CF" w:rsidRDefault="00DE75C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0"/>
        <w:gridCol w:w="2290"/>
        <w:gridCol w:w="1194"/>
        <w:gridCol w:w="1345"/>
        <w:gridCol w:w="1644"/>
        <w:gridCol w:w="2093"/>
      </w:tblGrid>
      <w:tr w:rsidR="00A023E3" w:rsidRPr="009C3E83" w:rsidTr="00DE75CF">
        <w:trPr>
          <w:trHeight w:val="77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23E3" w:rsidRPr="009C3E83" w:rsidRDefault="00A023E3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9C3E8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63 de la Ley de Transparencia y Acceso a la Información Pública del Estado de Tlaxcala</w:t>
            </w:r>
          </w:p>
        </w:tc>
      </w:tr>
      <w:tr w:rsidR="00A023E3" w:rsidRPr="009C3E83" w:rsidTr="00DE75CF"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A023E3" w:rsidRPr="009C3E83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A023E3" w:rsidRPr="009C3E83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1" w:type="pct"/>
            <w:gridSpan w:val="4"/>
            <w:shd w:val="clear" w:color="auto" w:fill="E5DFEC" w:themeFill="accent4" w:themeFillTint="33"/>
            <w:vAlign w:val="center"/>
          </w:tcPr>
          <w:p w:rsidR="00A023E3" w:rsidRPr="009C3E83" w:rsidRDefault="002643C6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A023E3" w:rsidRPr="009C3E83" w:rsidTr="00DE75CF">
        <w:trPr>
          <w:trHeight w:val="926"/>
        </w:trPr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A023E3" w:rsidRPr="009C3E83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A023E3" w:rsidRPr="009C3E83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A023E3" w:rsidRPr="009C3E83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A023E3" w:rsidRPr="009C3E83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A023E3" w:rsidRPr="009C3E83" w:rsidRDefault="00A023E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1" w:type="pct"/>
            <w:shd w:val="clear" w:color="auto" w:fill="E5DFEC" w:themeFill="accent4" w:themeFillTint="33"/>
            <w:vAlign w:val="center"/>
          </w:tcPr>
          <w:p w:rsidR="00A023E3" w:rsidRPr="009C3E83" w:rsidRDefault="00A023E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AC065A" w:rsidRPr="009C3E83" w:rsidTr="00DE75CF">
        <w:tc>
          <w:tcPr>
            <w:tcW w:w="904" w:type="pct"/>
            <w:vMerge w:val="restart"/>
            <w:vAlign w:val="center"/>
          </w:tcPr>
          <w:p w:rsidR="00AC065A" w:rsidRPr="009C3E83" w:rsidRDefault="00AC065A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Poder Legislativo</w:t>
            </w:r>
          </w:p>
        </w:tc>
        <w:tc>
          <w:tcPr>
            <w:tcW w:w="1095" w:type="pct"/>
            <w:vMerge w:val="restart"/>
            <w:vAlign w:val="center"/>
          </w:tcPr>
          <w:p w:rsidR="00AC065A" w:rsidRPr="009C3E83" w:rsidRDefault="00AC065A" w:rsidP="00BD2716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Congreso del Estado de Tlaxcala</w:t>
            </w:r>
          </w:p>
          <w:p w:rsidR="00AC065A" w:rsidRPr="009C3E83" w:rsidRDefault="00AC065A" w:rsidP="00BD2716">
            <w:pPr>
              <w:jc w:val="center"/>
              <w:rPr>
                <w:rFonts w:ascii="Microsoft Sans Serif" w:hAnsi="Microsoft Sans Serif" w:cs="Microsoft Sans Serif"/>
              </w:rPr>
            </w:pPr>
          </w:p>
          <w:p w:rsidR="00AC065A" w:rsidRPr="009C3E83" w:rsidRDefault="00AC065A" w:rsidP="00BD27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XXIX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XXX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XXXI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XXXII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XXXIII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(a-i)</w:t>
            </w: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XXXIV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XXXV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XXXVI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XXXVII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XXXVIII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XXXIX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 xml:space="preserve">Semestral </w:t>
            </w:r>
            <w:r w:rsidR="009C3E83">
              <w:rPr>
                <w:rFonts w:ascii="Microsoft Sans Serif" w:hAnsi="Microsoft Sans Serif" w:cs="Microsoft Sans Serif"/>
              </w:rPr>
              <w:t xml:space="preserve"> y trimestral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XL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XLI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XLII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XLIII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XLIV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XLV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AC065A" w:rsidRPr="009C3E83" w:rsidTr="00DE75CF"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XLVI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rPr>
          <w:trHeight w:val="328"/>
        </w:trPr>
        <w:tc>
          <w:tcPr>
            <w:tcW w:w="904" w:type="pct"/>
            <w:vMerge/>
          </w:tcPr>
          <w:p w:rsidR="00AC065A" w:rsidRPr="009C3E83" w:rsidRDefault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XLVII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EB5BA4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065A" w:rsidRPr="009C3E83" w:rsidTr="00DE75CF">
        <w:trPr>
          <w:trHeight w:val="328"/>
        </w:trPr>
        <w:tc>
          <w:tcPr>
            <w:tcW w:w="904" w:type="pct"/>
            <w:vMerge/>
          </w:tcPr>
          <w:p w:rsidR="00AC065A" w:rsidRPr="009C3E83" w:rsidRDefault="00AC065A" w:rsidP="00AC065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C065A" w:rsidRPr="009C3E83" w:rsidRDefault="00AC065A" w:rsidP="00AC065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C065A" w:rsidRPr="009C3E83" w:rsidRDefault="00AC065A" w:rsidP="00AC065A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9C3E83">
              <w:rPr>
                <w:rFonts w:ascii="Microsoft Sans Serif" w:hAnsi="Microsoft Sans Serif" w:cs="Microsoft Sans Serif"/>
                <w:lang w:val="es-ES" w:eastAsia="en-US"/>
              </w:rPr>
              <w:t>C</w:t>
            </w:r>
          </w:p>
        </w:tc>
        <w:tc>
          <w:tcPr>
            <w:tcW w:w="643" w:type="pct"/>
            <w:vAlign w:val="center"/>
          </w:tcPr>
          <w:p w:rsidR="00AC065A" w:rsidRPr="009C3E83" w:rsidRDefault="00AC065A" w:rsidP="00AC065A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</w:p>
        </w:tc>
        <w:tc>
          <w:tcPr>
            <w:tcW w:w="786" w:type="pct"/>
            <w:vAlign w:val="center"/>
          </w:tcPr>
          <w:p w:rsidR="00AC065A" w:rsidRPr="009C3E83" w:rsidRDefault="00AC065A" w:rsidP="00AC065A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9C3E83">
              <w:rPr>
                <w:rFonts w:ascii="Microsoft Sans Serif" w:hAnsi="Microsoft Sans Serif" w:cs="Microsoft Sans Serif"/>
                <w:lang w:val="es-ES" w:eastAsia="en-US"/>
              </w:rPr>
              <w:t>Aplica</w:t>
            </w:r>
          </w:p>
        </w:tc>
        <w:tc>
          <w:tcPr>
            <w:tcW w:w="1001" w:type="pct"/>
            <w:vAlign w:val="center"/>
          </w:tcPr>
          <w:p w:rsidR="00AC065A" w:rsidRPr="009C3E83" w:rsidRDefault="00AC065A" w:rsidP="00AC065A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9C3E83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</w:tbl>
    <w:p w:rsidR="007B7824" w:rsidRPr="009C3E83" w:rsidRDefault="007B7824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9C3E8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9C3E8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9C3E8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9C3E8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9C3E8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9C3E8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9C3E8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9C3E8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9C3E83" w:rsidRDefault="00A023E3">
      <w:pPr>
        <w:rPr>
          <w:rFonts w:ascii="Microsoft Sans Serif" w:hAnsi="Microsoft Sans Serif" w:cs="Microsoft Sans Serif"/>
          <w:b/>
        </w:rPr>
      </w:pPr>
      <w:r w:rsidRPr="009C3E83">
        <w:rPr>
          <w:rFonts w:ascii="Microsoft Sans Serif" w:hAnsi="Microsoft Sans Serif" w:cs="Microsoft Sans Serif"/>
          <w:b/>
        </w:rPr>
        <w:br w:type="page"/>
      </w:r>
    </w:p>
    <w:p w:rsidR="00A023E3" w:rsidRPr="009C3E83" w:rsidRDefault="00A023E3" w:rsidP="007B7824">
      <w:pPr>
        <w:jc w:val="center"/>
        <w:rPr>
          <w:rFonts w:ascii="Microsoft Sans Serif" w:hAnsi="Microsoft Sans Serif" w:cs="Microsoft Sans Serif"/>
          <w:b/>
        </w:rPr>
        <w:sectPr w:rsidR="00A023E3" w:rsidRPr="009C3E83" w:rsidSect="00DE75C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77"/>
        <w:gridCol w:w="1677"/>
        <w:gridCol w:w="588"/>
        <w:gridCol w:w="4866"/>
        <w:gridCol w:w="3995"/>
        <w:gridCol w:w="2585"/>
      </w:tblGrid>
      <w:tr w:rsidR="007B7824" w:rsidRPr="009C3E83" w:rsidTr="00DE75CF">
        <w:trPr>
          <w:trHeight w:val="70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9C3E83" w:rsidRDefault="007B7824" w:rsidP="003406E1">
            <w:pPr>
              <w:ind w:firstLine="63"/>
              <w:jc w:val="center"/>
              <w:rPr>
                <w:rFonts w:ascii="Microsoft Sans Serif" w:hAnsi="Microsoft Sans Serif" w:cs="Microsoft Sans Serif"/>
                <w:b/>
              </w:rPr>
            </w:pPr>
            <w:r w:rsidRPr="009C3E8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</w:t>
            </w:r>
            <w:r w:rsidR="00EE6CCE" w:rsidRPr="009C3E8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específicas</w:t>
            </w:r>
            <w:r w:rsidRPr="009C3E8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</w:t>
            </w:r>
            <w:r w:rsidR="00EE6CCE" w:rsidRPr="009C3E8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los sujetos obligados Artículo 65</w:t>
            </w:r>
            <w:r w:rsidRPr="009C3E8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A023E3" w:rsidRPr="009C3E83" w:rsidTr="00DE75CF">
        <w:trPr>
          <w:trHeight w:val="417"/>
        </w:trPr>
        <w:tc>
          <w:tcPr>
            <w:tcW w:w="545" w:type="pct"/>
            <w:vMerge w:val="restart"/>
            <w:shd w:val="clear" w:color="auto" w:fill="E5DFEC" w:themeFill="accent4" w:themeFillTint="33"/>
            <w:vAlign w:val="center"/>
          </w:tcPr>
          <w:p w:rsidR="007B7824" w:rsidRPr="009C3E83" w:rsidRDefault="007B7824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45" w:type="pct"/>
            <w:vMerge w:val="restart"/>
            <w:shd w:val="clear" w:color="auto" w:fill="E5DFEC" w:themeFill="accent4" w:themeFillTint="33"/>
            <w:vAlign w:val="center"/>
          </w:tcPr>
          <w:p w:rsidR="007B7824" w:rsidRPr="009C3E83" w:rsidRDefault="007B7824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910" w:type="pct"/>
            <w:gridSpan w:val="4"/>
            <w:shd w:val="clear" w:color="auto" w:fill="E5DFEC" w:themeFill="accent4" w:themeFillTint="33"/>
            <w:vAlign w:val="center"/>
          </w:tcPr>
          <w:p w:rsidR="007B7824" w:rsidRPr="009C3E83" w:rsidRDefault="002643C6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C5B47" w:rsidRPr="009C3E83" w:rsidTr="00DE75CF">
        <w:trPr>
          <w:trHeight w:val="718"/>
        </w:trPr>
        <w:tc>
          <w:tcPr>
            <w:tcW w:w="545" w:type="pct"/>
            <w:vMerge/>
            <w:shd w:val="clear" w:color="auto" w:fill="E5DFEC" w:themeFill="accent4" w:themeFillTint="33"/>
            <w:vAlign w:val="center"/>
          </w:tcPr>
          <w:p w:rsidR="007B7824" w:rsidRPr="009C3E83" w:rsidRDefault="007B7824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5" w:type="pct"/>
            <w:vMerge/>
            <w:shd w:val="clear" w:color="auto" w:fill="E5DFEC" w:themeFill="accent4" w:themeFillTint="33"/>
            <w:vAlign w:val="center"/>
          </w:tcPr>
          <w:p w:rsidR="007B7824" w:rsidRPr="009C3E83" w:rsidRDefault="007B7824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shd w:val="clear" w:color="auto" w:fill="E5DFEC" w:themeFill="accent4" w:themeFillTint="33"/>
            <w:vAlign w:val="center"/>
          </w:tcPr>
          <w:p w:rsidR="007B7824" w:rsidRPr="009C3E83" w:rsidRDefault="007B7824" w:rsidP="003406E1">
            <w:pPr>
              <w:ind w:firstLine="63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81" w:type="pct"/>
            <w:shd w:val="clear" w:color="auto" w:fill="E5DFEC" w:themeFill="accent4" w:themeFillTint="33"/>
            <w:vAlign w:val="center"/>
          </w:tcPr>
          <w:p w:rsidR="007B7824" w:rsidRPr="009C3E83" w:rsidRDefault="009E1D86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298" w:type="pct"/>
            <w:shd w:val="clear" w:color="auto" w:fill="E5DFEC" w:themeFill="accent4" w:themeFillTint="33"/>
            <w:vAlign w:val="center"/>
          </w:tcPr>
          <w:p w:rsidR="007B7824" w:rsidRPr="009C3E83" w:rsidRDefault="007B7824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840" w:type="pct"/>
            <w:shd w:val="clear" w:color="auto" w:fill="E5DFEC" w:themeFill="accent4" w:themeFillTint="33"/>
            <w:vAlign w:val="center"/>
          </w:tcPr>
          <w:p w:rsidR="007B7824" w:rsidRPr="009C3E83" w:rsidRDefault="007B7824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CC5B47" w:rsidRPr="009C3E83" w:rsidTr="00DE75CF">
        <w:trPr>
          <w:trHeight w:val="1240"/>
        </w:trPr>
        <w:tc>
          <w:tcPr>
            <w:tcW w:w="545" w:type="pct"/>
            <w:vMerge w:val="restart"/>
            <w:shd w:val="clear" w:color="auto" w:fill="auto"/>
            <w:vAlign w:val="center"/>
          </w:tcPr>
          <w:p w:rsidR="00CC5B47" w:rsidRPr="009C3E83" w:rsidRDefault="003D7F1B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Poder Legislativo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EE6CCE" w:rsidRPr="009C3E83" w:rsidRDefault="00EE6CCE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Congreso del Estado de Tlaxcala</w:t>
            </w:r>
          </w:p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EE6CCE" w:rsidRPr="009C3E83" w:rsidRDefault="00EE6CCE" w:rsidP="003406E1">
            <w:pPr>
              <w:spacing w:line="360" w:lineRule="auto"/>
              <w:ind w:firstLine="63"/>
              <w:jc w:val="center"/>
              <w:rPr>
                <w:rFonts w:ascii="Microsoft Sans Serif" w:hAnsi="Microsoft Sans Serif" w:cs="Microsoft Sans Serif"/>
                <w:b/>
              </w:rPr>
            </w:pPr>
          </w:p>
          <w:p w:rsidR="00CC5B47" w:rsidRPr="009C3E83" w:rsidRDefault="00CC5B47" w:rsidP="003406E1">
            <w:pPr>
              <w:spacing w:line="360" w:lineRule="auto"/>
              <w:ind w:firstLine="63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CC5B47" w:rsidRPr="009C3E83" w:rsidRDefault="009E1D86" w:rsidP="003406E1">
            <w:pPr>
              <w:pStyle w:val="Prrafodelista"/>
              <w:numPr>
                <w:ilvl w:val="0"/>
                <w:numId w:val="1"/>
              </w:numPr>
              <w:spacing w:line="360" w:lineRule="auto"/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Programa Legislativo aprobado para cada periodo ordinario</w:t>
            </w:r>
            <w:r w:rsidR="002508DD">
              <w:rPr>
                <w:rFonts w:ascii="Microsoft Sans Serif" w:eastAsia="Times New Roman" w:hAnsi="Microsoft Sans Serif" w:cs="Microsoft Sans Serif"/>
                <w:color w:val="2F2F2F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CC5B47" w:rsidRPr="009C3E83" w:rsidRDefault="00CC5B47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  <w:p w:rsidR="004668E7" w:rsidRPr="009C3E83" w:rsidRDefault="004668E7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4668E7" w:rsidRPr="009C3E83" w:rsidRDefault="004668E7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CC5B47" w:rsidRPr="009C3E83" w:rsidRDefault="009E1D86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Por cada periodo ordinario de sesiones.</w:t>
            </w:r>
          </w:p>
        </w:tc>
      </w:tr>
      <w:tr w:rsidR="00CC5B47" w:rsidRPr="009C3E83" w:rsidTr="00DE75CF">
        <w:trPr>
          <w:trHeight w:val="1130"/>
        </w:trPr>
        <w:tc>
          <w:tcPr>
            <w:tcW w:w="545" w:type="pct"/>
            <w:vMerge/>
            <w:shd w:val="clear" w:color="auto" w:fill="auto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CC5B47" w:rsidRPr="009C3E83" w:rsidRDefault="009E1D86" w:rsidP="003406E1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Gaceta Parlamentaria</w:t>
            </w:r>
            <w:r w:rsidR="002508DD">
              <w:rPr>
                <w:rFonts w:ascii="Microsoft Sans Serif" w:eastAsia="Times New Roman" w:hAnsi="Microsoft Sans Serif" w:cs="Microsoft Sans Serif"/>
                <w:color w:val="2F2F2F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CC5B47" w:rsidRPr="009C3E83" w:rsidRDefault="00CC5B47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C5B47" w:rsidRPr="009C3E83" w:rsidRDefault="009E1D86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Por cada sesión del Pleno</w:t>
            </w:r>
            <w:r w:rsidR="00CB1242">
              <w:rPr>
                <w:rFonts w:ascii="Microsoft Sans Serif" w:eastAsia="Times New Roman" w:hAnsi="Microsoft Sans Serif" w:cs="Microsoft Sans Serif"/>
                <w:color w:val="000000"/>
              </w:rPr>
              <w:t xml:space="preserve"> de acuerdo a la normatividad vigente</w:t>
            </w:r>
          </w:p>
        </w:tc>
      </w:tr>
      <w:tr w:rsidR="00CC5B47" w:rsidRPr="009C3E83" w:rsidTr="00DE75CF">
        <w:trPr>
          <w:trHeight w:val="1691"/>
        </w:trPr>
        <w:tc>
          <w:tcPr>
            <w:tcW w:w="545" w:type="pct"/>
            <w:vMerge/>
            <w:shd w:val="clear" w:color="auto" w:fill="auto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CC5B47" w:rsidRPr="009C3E83" w:rsidRDefault="009E1D86" w:rsidP="003406E1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Orden del Día.</w:t>
            </w:r>
          </w:p>
          <w:p w:rsidR="004668E7" w:rsidRPr="009C3E83" w:rsidRDefault="004668E7" w:rsidP="003406E1">
            <w:pPr>
              <w:ind w:left="360"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CC5B47" w:rsidRPr="009C3E83" w:rsidRDefault="00CC5B47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  <w:r w:rsidR="002508DD">
              <w:rPr>
                <w:rFonts w:ascii="Microsoft Sans Serif" w:eastAsia="Times New Roman" w:hAnsi="Microsoft Sans Serif" w:cs="Microsoft Sans Serif"/>
                <w:color w:val="2F2F2F"/>
              </w:rPr>
              <w:t>.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C5B47" w:rsidRPr="009C3E83" w:rsidRDefault="009E1D86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Por cada sesión del Pleno</w:t>
            </w:r>
            <w:r w:rsidR="00CB1242">
              <w:rPr>
                <w:rFonts w:ascii="Microsoft Sans Serif" w:eastAsia="Times New Roman" w:hAnsi="Microsoft Sans Serif" w:cs="Microsoft Sans Serif"/>
                <w:color w:val="000000"/>
              </w:rPr>
              <w:t xml:space="preserve"> de acuerdo a la normatividad vigente</w:t>
            </w:r>
          </w:p>
        </w:tc>
      </w:tr>
      <w:tr w:rsidR="00D12002" w:rsidRPr="009C3E83" w:rsidTr="00DE75CF">
        <w:trPr>
          <w:trHeight w:val="1691"/>
        </w:trPr>
        <w:tc>
          <w:tcPr>
            <w:tcW w:w="545" w:type="pct"/>
            <w:vMerge/>
            <w:shd w:val="clear" w:color="auto" w:fill="auto"/>
            <w:vAlign w:val="center"/>
          </w:tcPr>
          <w:p w:rsidR="00D12002" w:rsidRPr="009C3E83" w:rsidRDefault="00D12002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D12002" w:rsidRPr="009C3E83" w:rsidRDefault="00D12002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D12002" w:rsidRPr="009C3E83" w:rsidRDefault="00D12002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192CA6" w:rsidRPr="009C3E83" w:rsidRDefault="00192CA6" w:rsidP="003406E1">
            <w:pPr>
              <w:pStyle w:val="Prrafodelista"/>
              <w:ind w:left="1080" w:firstLine="63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192CA6" w:rsidRPr="009C3E83" w:rsidRDefault="00192CA6" w:rsidP="003406E1">
            <w:pPr>
              <w:pStyle w:val="Prrafodelista"/>
              <w:ind w:left="1080" w:firstLine="63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192CA6" w:rsidRPr="009C3E83" w:rsidRDefault="00192CA6" w:rsidP="003406E1">
            <w:pPr>
              <w:pStyle w:val="Prrafodelista"/>
              <w:ind w:left="1080" w:firstLine="63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D12002" w:rsidRPr="009C3E83" w:rsidRDefault="00D12002" w:rsidP="003406E1">
            <w:pPr>
              <w:pStyle w:val="Prrafodelista"/>
              <w:numPr>
                <w:ilvl w:val="0"/>
                <w:numId w:val="1"/>
              </w:numPr>
              <w:ind w:firstLine="63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El diario de Debates.</w:t>
            </w:r>
          </w:p>
          <w:p w:rsidR="004668E7" w:rsidRPr="009C3E83" w:rsidRDefault="004668E7" w:rsidP="003406E1">
            <w:p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4668E7" w:rsidRPr="009C3E83" w:rsidRDefault="004668E7" w:rsidP="003406E1">
            <w:pPr>
              <w:pStyle w:val="Prrafodelista"/>
              <w:ind w:left="1080"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4668E7" w:rsidRPr="009C3E83" w:rsidRDefault="004668E7" w:rsidP="003406E1">
            <w:pPr>
              <w:pStyle w:val="Prrafodelista"/>
              <w:ind w:left="1080"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D12002" w:rsidRPr="009C3E83" w:rsidRDefault="00D12002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12002" w:rsidRPr="009C3E83" w:rsidRDefault="004668E7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Por cada sesión del Pleno, en un plazo no mayor a 5 días hábiles</w:t>
            </w:r>
            <w:r w:rsidR="00CB1242">
              <w:rPr>
                <w:rFonts w:ascii="Microsoft Sans Serif" w:eastAsia="Times New Roman" w:hAnsi="Microsoft Sans Serif" w:cs="Microsoft Sans Serif"/>
                <w:color w:val="000000"/>
              </w:rPr>
              <w:t xml:space="preserve"> en que se haya llevado a cabo la sesión</w:t>
            </w:r>
          </w:p>
        </w:tc>
      </w:tr>
    </w:tbl>
    <w:p w:rsidR="00DE75CF" w:rsidRDefault="00DE75CF"/>
    <w:p w:rsidR="00DE75CF" w:rsidRDefault="00DE75CF"/>
    <w:p w:rsidR="00DE75CF" w:rsidRDefault="00DE75CF"/>
    <w:p w:rsidR="00DE75CF" w:rsidRDefault="00DE75C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77"/>
        <w:gridCol w:w="1677"/>
        <w:gridCol w:w="588"/>
        <w:gridCol w:w="5503"/>
        <w:gridCol w:w="3358"/>
        <w:gridCol w:w="2585"/>
      </w:tblGrid>
      <w:tr w:rsidR="00CC5B47" w:rsidRPr="009C3E83" w:rsidTr="00DE75CF">
        <w:trPr>
          <w:trHeight w:val="70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C5B47" w:rsidRPr="009C3E83" w:rsidRDefault="00771796" w:rsidP="003406E1">
            <w:pPr>
              <w:ind w:firstLine="63"/>
              <w:jc w:val="center"/>
              <w:rPr>
                <w:rFonts w:ascii="Microsoft Sans Serif" w:hAnsi="Microsoft Sans Serif" w:cs="Microsoft Sans Serif"/>
                <w:b/>
              </w:rPr>
            </w:pPr>
            <w:r w:rsidRPr="009C3E8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los sujetos obligados Artículo 65 de la Ley de Transparencia y Acceso a la Información Pública del Estado de Tlaxcala</w:t>
            </w:r>
          </w:p>
        </w:tc>
      </w:tr>
      <w:tr w:rsidR="00CC5B47" w:rsidRPr="009C3E83" w:rsidTr="00DE75CF">
        <w:tc>
          <w:tcPr>
            <w:tcW w:w="545" w:type="pct"/>
            <w:vMerge w:val="restart"/>
            <w:shd w:val="clear" w:color="auto" w:fill="E5DFEC" w:themeFill="accent4" w:themeFillTint="33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45" w:type="pct"/>
            <w:vMerge w:val="restart"/>
            <w:shd w:val="clear" w:color="auto" w:fill="E5DFEC" w:themeFill="accent4" w:themeFillTint="33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910" w:type="pct"/>
            <w:gridSpan w:val="4"/>
            <w:shd w:val="clear" w:color="auto" w:fill="E5DFEC" w:themeFill="accent4" w:themeFillTint="33"/>
            <w:vAlign w:val="center"/>
          </w:tcPr>
          <w:p w:rsidR="00CC5B47" w:rsidRPr="009C3E83" w:rsidRDefault="002643C6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C5B47" w:rsidRPr="009C3E83" w:rsidTr="00DE75CF">
        <w:trPr>
          <w:trHeight w:val="718"/>
        </w:trPr>
        <w:tc>
          <w:tcPr>
            <w:tcW w:w="545" w:type="pct"/>
            <w:vMerge/>
            <w:shd w:val="clear" w:color="auto" w:fill="E5DFEC" w:themeFill="accent4" w:themeFillTint="33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5" w:type="pct"/>
            <w:vMerge/>
            <w:shd w:val="clear" w:color="auto" w:fill="E5DFEC" w:themeFill="accent4" w:themeFillTint="33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shd w:val="clear" w:color="auto" w:fill="E5DFEC" w:themeFill="accent4" w:themeFillTint="33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88" w:type="pct"/>
            <w:shd w:val="clear" w:color="auto" w:fill="E5DFEC" w:themeFill="accent4" w:themeFillTint="33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091" w:type="pct"/>
            <w:shd w:val="clear" w:color="auto" w:fill="E5DFEC" w:themeFill="accent4" w:themeFillTint="33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840" w:type="pct"/>
            <w:shd w:val="clear" w:color="auto" w:fill="E5DFEC" w:themeFill="accent4" w:themeFillTint="33"/>
            <w:vAlign w:val="center"/>
          </w:tcPr>
          <w:p w:rsidR="00CC5B47" w:rsidRPr="009C3E83" w:rsidRDefault="00CC5B47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4668E7" w:rsidRPr="009C3E83" w:rsidTr="00DE75CF">
        <w:tc>
          <w:tcPr>
            <w:tcW w:w="545" w:type="pct"/>
            <w:vMerge w:val="restart"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Poder Legislativo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Congreso del Estado de Tlaxcala</w:t>
            </w:r>
          </w:p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4668E7" w:rsidRPr="009C3E83" w:rsidRDefault="004668E7" w:rsidP="003406E1">
            <w:pPr>
              <w:spacing w:line="360" w:lineRule="auto"/>
              <w:ind w:firstLine="63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788" w:type="pct"/>
            <w:shd w:val="clear" w:color="auto" w:fill="auto"/>
            <w:vAlign w:val="center"/>
          </w:tcPr>
          <w:p w:rsidR="004668E7" w:rsidRPr="009C3E83" w:rsidRDefault="004668E7" w:rsidP="003406E1">
            <w:pPr>
              <w:pStyle w:val="Prrafodelista"/>
              <w:numPr>
                <w:ilvl w:val="0"/>
                <w:numId w:val="1"/>
              </w:numPr>
              <w:ind w:firstLine="63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Las versiones estenográficas.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668E7" w:rsidRPr="009C3E83" w:rsidRDefault="004668E7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4668E7" w:rsidRPr="009C3E83" w:rsidRDefault="00771796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Quincenal</w:t>
            </w:r>
          </w:p>
          <w:p w:rsidR="00192CA6" w:rsidRPr="009C3E83" w:rsidRDefault="00192CA6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</w:tr>
      <w:tr w:rsidR="004668E7" w:rsidRPr="009C3E83" w:rsidTr="00DE75CF">
        <w:tc>
          <w:tcPr>
            <w:tcW w:w="545" w:type="pct"/>
            <w:vMerge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788" w:type="pct"/>
            <w:shd w:val="clear" w:color="auto" w:fill="auto"/>
            <w:vAlign w:val="center"/>
          </w:tcPr>
          <w:p w:rsidR="004668E7" w:rsidRPr="009C3E83" w:rsidRDefault="004668E7" w:rsidP="003406E1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La asistencia de cada una de sus sesiones del Pleno y de las Comisiones y Comités.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668E7" w:rsidRPr="009C3E83" w:rsidRDefault="004668E7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4668E7" w:rsidRPr="009C3E83" w:rsidRDefault="00771796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Por cada sesión del Pleno y reunión de comisiones</w:t>
            </w:r>
            <w:r w:rsidR="00CB1242">
              <w:rPr>
                <w:rFonts w:ascii="Microsoft Sans Serif" w:eastAsia="Times New Roman" w:hAnsi="Microsoft Sans Serif" w:cs="Microsoft Sans Serif"/>
                <w:color w:val="000000"/>
              </w:rPr>
              <w:t xml:space="preserve"> de acuerdo a la normatividad vigente</w:t>
            </w:r>
          </w:p>
        </w:tc>
      </w:tr>
      <w:tr w:rsidR="004668E7" w:rsidRPr="009C3E83" w:rsidTr="00DE75CF">
        <w:tc>
          <w:tcPr>
            <w:tcW w:w="545" w:type="pct"/>
            <w:vMerge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788" w:type="pct"/>
            <w:shd w:val="clear" w:color="auto" w:fill="auto"/>
            <w:vAlign w:val="center"/>
          </w:tcPr>
          <w:p w:rsidR="004668E7" w:rsidRPr="009C3E83" w:rsidRDefault="00844A26" w:rsidP="003406E1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>
              <w:rPr>
                <w:rFonts w:ascii="Microsoft Sans Serif" w:eastAsia="Times New Roman" w:hAnsi="Microsoft Sans Serif" w:cs="Microsoft Sans Serif"/>
                <w:color w:val="2F2F2F"/>
              </w:rPr>
              <w:t xml:space="preserve">Las iniciativas de Ley, </w:t>
            </w:r>
            <w:r w:rsidR="004668E7" w:rsidRPr="009C3E83">
              <w:rPr>
                <w:rFonts w:ascii="Microsoft Sans Serif" w:eastAsia="Times New Roman" w:hAnsi="Microsoft Sans Serif" w:cs="Microsoft Sans Serif"/>
                <w:color w:val="2F2F2F"/>
              </w:rPr>
              <w:t xml:space="preserve">decretos, acuerdos y puntos de acuerdo, la fecha en que se recibió, las comisiones a las que </w:t>
            </w:r>
            <w:r w:rsidR="005C322B">
              <w:rPr>
                <w:rFonts w:ascii="Microsoft Sans Serif" w:eastAsia="Times New Roman" w:hAnsi="Microsoft Sans Serif" w:cs="Microsoft Sans Serif"/>
                <w:color w:val="2F2F2F"/>
              </w:rPr>
              <w:t xml:space="preserve">se </w:t>
            </w:r>
            <w:r w:rsidR="004668E7" w:rsidRPr="009C3E83">
              <w:rPr>
                <w:rFonts w:ascii="Microsoft Sans Serif" w:eastAsia="Times New Roman" w:hAnsi="Microsoft Sans Serif" w:cs="Microsoft Sans Serif"/>
                <w:color w:val="2F2F2F"/>
              </w:rPr>
              <w:t>turnaron, y los dictámenes que, en su caso, recaigan sobre las mismas.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668E7" w:rsidRPr="009C3E83" w:rsidRDefault="004668E7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4668E7" w:rsidRPr="009C3E83" w:rsidRDefault="00771796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Por cada sesión del Pleno</w:t>
            </w:r>
            <w:r w:rsidR="00CB1242">
              <w:rPr>
                <w:rFonts w:ascii="Microsoft Sans Serif" w:eastAsia="Times New Roman" w:hAnsi="Microsoft Sans Serif" w:cs="Microsoft Sans Serif"/>
                <w:color w:val="000000"/>
              </w:rPr>
              <w:t xml:space="preserve"> de acuerdo a la normatividad vigente</w:t>
            </w:r>
          </w:p>
        </w:tc>
      </w:tr>
      <w:tr w:rsidR="004668E7" w:rsidRPr="009C3E83" w:rsidTr="00DE75CF">
        <w:tc>
          <w:tcPr>
            <w:tcW w:w="545" w:type="pct"/>
            <w:vMerge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788" w:type="pct"/>
            <w:shd w:val="clear" w:color="auto" w:fill="auto"/>
            <w:vAlign w:val="center"/>
          </w:tcPr>
          <w:p w:rsidR="004668E7" w:rsidRPr="009C3E83" w:rsidRDefault="004668E7" w:rsidP="003406E1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Las leyes, decretos, acuerdos y puntos de acuerdo aprobados por el Congreso del Estado</w:t>
            </w:r>
            <w:r w:rsidR="002508DD">
              <w:rPr>
                <w:rFonts w:ascii="Microsoft Sans Serif" w:eastAsia="Times New Roman" w:hAnsi="Microsoft Sans Serif" w:cs="Microsoft Sans Serif"/>
                <w:color w:val="2F2F2F"/>
              </w:rPr>
              <w:t>.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668E7" w:rsidRPr="009C3E83" w:rsidRDefault="004668E7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4668E7" w:rsidRPr="009C3E83" w:rsidRDefault="00771796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Por cada sesión del Pleno</w:t>
            </w:r>
            <w:r w:rsidR="00CB1242">
              <w:rPr>
                <w:rFonts w:ascii="Microsoft Sans Serif" w:eastAsia="Times New Roman" w:hAnsi="Microsoft Sans Serif" w:cs="Microsoft Sans Serif"/>
                <w:color w:val="000000"/>
              </w:rPr>
              <w:t>, de acuerdo a la normatividad vigente</w:t>
            </w:r>
          </w:p>
        </w:tc>
      </w:tr>
      <w:tr w:rsidR="004668E7" w:rsidRPr="009C3E83" w:rsidTr="00DE75CF">
        <w:tc>
          <w:tcPr>
            <w:tcW w:w="545" w:type="pct"/>
            <w:vMerge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788" w:type="pct"/>
            <w:shd w:val="clear" w:color="auto" w:fill="auto"/>
            <w:vAlign w:val="center"/>
          </w:tcPr>
          <w:p w:rsidR="004668E7" w:rsidRPr="009C3E83" w:rsidRDefault="004668E7" w:rsidP="003406E1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Las actas, acuerdos, listas de asistencia y votación de las comisiones y comités y de las sesiones del Pleno, identificando el sentido del voto, en votación económica, y por cada legislador, en la votación nominal y el resu</w:t>
            </w:r>
            <w:r w:rsidR="00844A26">
              <w:rPr>
                <w:rFonts w:ascii="Microsoft Sans Serif" w:eastAsia="Times New Roman" w:hAnsi="Microsoft Sans Serif" w:cs="Microsoft Sans Serif"/>
                <w:color w:val="2F2F2F"/>
              </w:rPr>
              <w:t xml:space="preserve">ltado de la votación por cédula, </w:t>
            </w: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así como votos particulares y reservas de los dictámenes y acuerdos sometidos a consideración.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668E7" w:rsidRPr="009C3E83" w:rsidRDefault="004668E7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Por cada sesión del Pleno</w:t>
            </w:r>
            <w:r w:rsidR="00CB1242">
              <w:rPr>
                <w:rFonts w:ascii="Microsoft Sans Serif" w:eastAsia="Times New Roman" w:hAnsi="Microsoft Sans Serif" w:cs="Microsoft Sans Serif"/>
                <w:color w:val="000000"/>
              </w:rPr>
              <w:t>, de acuerdo a la normatividad vigente</w:t>
            </w:r>
          </w:p>
        </w:tc>
      </w:tr>
    </w:tbl>
    <w:p w:rsidR="00DE75CF" w:rsidRDefault="00DE75CF"/>
    <w:p w:rsidR="00DE75CF" w:rsidRDefault="00C269F5">
      <w:r>
        <w:br/>
      </w:r>
    </w:p>
    <w:p w:rsidR="00C269F5" w:rsidRDefault="00C269F5"/>
    <w:p w:rsidR="00C269F5" w:rsidRDefault="00C269F5"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77"/>
        <w:gridCol w:w="1677"/>
        <w:gridCol w:w="588"/>
        <w:gridCol w:w="5503"/>
        <w:gridCol w:w="3358"/>
        <w:gridCol w:w="2585"/>
      </w:tblGrid>
      <w:tr w:rsidR="004668E7" w:rsidRPr="009C3E83" w:rsidTr="00DE75CF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668E7" w:rsidRPr="009C3E83" w:rsidRDefault="00771796" w:rsidP="003406E1">
            <w:pPr>
              <w:ind w:firstLine="63"/>
              <w:jc w:val="center"/>
              <w:rPr>
                <w:rFonts w:ascii="Microsoft Sans Serif" w:hAnsi="Microsoft Sans Serif" w:cs="Microsoft Sans Serif"/>
                <w:b/>
              </w:rPr>
            </w:pPr>
            <w:r w:rsidRPr="009C3E8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los sujetos obligados Artículo 65 de la Ley de Transparencia y Acceso a la Información Pública del Estado de Tlaxcala</w:t>
            </w:r>
          </w:p>
        </w:tc>
      </w:tr>
      <w:tr w:rsidR="004668E7" w:rsidRPr="009C3E83" w:rsidTr="00DE75CF">
        <w:trPr>
          <w:trHeight w:val="103"/>
        </w:trPr>
        <w:tc>
          <w:tcPr>
            <w:tcW w:w="545" w:type="pct"/>
            <w:vMerge w:val="restart"/>
            <w:shd w:val="clear" w:color="auto" w:fill="E5DFEC" w:themeFill="accent4" w:themeFillTint="33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45" w:type="pct"/>
            <w:vMerge w:val="restart"/>
            <w:shd w:val="clear" w:color="auto" w:fill="E5DFEC" w:themeFill="accent4" w:themeFillTint="33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910" w:type="pct"/>
            <w:gridSpan w:val="4"/>
            <w:shd w:val="clear" w:color="auto" w:fill="E5DFEC" w:themeFill="accent4" w:themeFillTint="33"/>
            <w:vAlign w:val="center"/>
          </w:tcPr>
          <w:p w:rsidR="004668E7" w:rsidRPr="009C3E83" w:rsidRDefault="002643C6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4668E7" w:rsidRPr="009C3E83" w:rsidTr="00DE75CF">
        <w:trPr>
          <w:trHeight w:val="262"/>
        </w:trPr>
        <w:tc>
          <w:tcPr>
            <w:tcW w:w="545" w:type="pct"/>
            <w:vMerge/>
            <w:shd w:val="clear" w:color="auto" w:fill="E5DFEC" w:themeFill="accent4" w:themeFillTint="33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5" w:type="pct"/>
            <w:vMerge/>
            <w:shd w:val="clear" w:color="auto" w:fill="E5DFEC" w:themeFill="accent4" w:themeFillTint="33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shd w:val="clear" w:color="auto" w:fill="E5DFEC" w:themeFill="accent4" w:themeFillTint="33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88" w:type="pct"/>
            <w:shd w:val="clear" w:color="auto" w:fill="E5DFEC" w:themeFill="accent4" w:themeFillTint="33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1" w:type="pct"/>
            <w:shd w:val="clear" w:color="auto" w:fill="E5DFEC" w:themeFill="accent4" w:themeFillTint="33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840" w:type="pct"/>
            <w:shd w:val="clear" w:color="auto" w:fill="E5DFEC" w:themeFill="accent4" w:themeFillTint="33"/>
            <w:vAlign w:val="center"/>
          </w:tcPr>
          <w:p w:rsidR="004668E7" w:rsidRPr="009C3E83" w:rsidRDefault="004668E7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C03908" w:rsidRPr="009C3E83" w:rsidTr="00DE75CF">
        <w:trPr>
          <w:trHeight w:val="1602"/>
        </w:trPr>
        <w:tc>
          <w:tcPr>
            <w:tcW w:w="545" w:type="pct"/>
            <w:vMerge w:val="restart"/>
            <w:shd w:val="clear" w:color="auto" w:fill="auto"/>
            <w:vAlign w:val="center"/>
          </w:tcPr>
          <w:p w:rsidR="00C03908" w:rsidRPr="009C3E83" w:rsidRDefault="00C03908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Poder Legislativo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C03908" w:rsidRPr="009C3E83" w:rsidRDefault="00C03908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Congreso del Estado de Tlaxcala</w:t>
            </w:r>
          </w:p>
          <w:p w:rsidR="00C03908" w:rsidRPr="009C3E83" w:rsidRDefault="00C03908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C03908" w:rsidRPr="009C3E83" w:rsidRDefault="00C03908" w:rsidP="003406E1">
            <w:pPr>
              <w:spacing w:line="360" w:lineRule="auto"/>
              <w:ind w:firstLine="63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788" w:type="pct"/>
            <w:shd w:val="clear" w:color="auto" w:fill="auto"/>
            <w:vAlign w:val="center"/>
          </w:tcPr>
          <w:p w:rsidR="00C03908" w:rsidRPr="00B850E4" w:rsidRDefault="00C03908" w:rsidP="00B850E4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 xml:space="preserve">Las declaratorias, resoluciones definitivas sobre juicios políticos de procedencia, de causa y desafuero. 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03908" w:rsidRPr="009C3E83" w:rsidRDefault="00C03908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03908" w:rsidRPr="009C3E83" w:rsidRDefault="00771796" w:rsidP="00DE75CF">
            <w:pPr>
              <w:ind w:firstLine="63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C03908" w:rsidRPr="009C3E83" w:rsidTr="00DE75CF">
        <w:trPr>
          <w:trHeight w:val="1412"/>
        </w:trPr>
        <w:tc>
          <w:tcPr>
            <w:tcW w:w="545" w:type="pct"/>
            <w:vMerge/>
            <w:shd w:val="clear" w:color="auto" w:fill="auto"/>
            <w:vAlign w:val="center"/>
          </w:tcPr>
          <w:p w:rsidR="00C03908" w:rsidRPr="009C3E83" w:rsidRDefault="00C03908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C03908" w:rsidRPr="009C3E83" w:rsidRDefault="00C03908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C03908" w:rsidRPr="009C3E83" w:rsidRDefault="00C03908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788" w:type="pct"/>
            <w:shd w:val="clear" w:color="auto" w:fill="auto"/>
            <w:vAlign w:val="center"/>
          </w:tcPr>
          <w:p w:rsidR="00C03908" w:rsidRPr="00B850E4" w:rsidRDefault="00C03908" w:rsidP="00B850E4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Las versiones públicas de la información entregada en las audiencias públicas, comparecencias de servidores públicos y procedimientos de designación, ratificación, elección, reelección o cualquier otro de servidores públicos.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03908" w:rsidRPr="009C3E83" w:rsidRDefault="00C03908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D59A3" w:rsidRDefault="00771796" w:rsidP="00DE75CF">
            <w:pPr>
              <w:ind w:firstLine="63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  <w:r w:rsidR="002D59A3">
              <w:rPr>
                <w:rFonts w:ascii="Microsoft Sans Serif" w:eastAsia="Times New Roman" w:hAnsi="Microsoft Sans Serif" w:cs="Microsoft Sans Serif"/>
                <w:color w:val="000000"/>
              </w:rPr>
              <w:t>.</w:t>
            </w:r>
          </w:p>
          <w:p w:rsidR="00C03908" w:rsidRPr="009C3E83" w:rsidRDefault="00C03908" w:rsidP="00DE75CF">
            <w:pPr>
              <w:ind w:firstLine="63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</w:tr>
      <w:tr w:rsidR="00C03908" w:rsidRPr="009C3E83" w:rsidTr="00DE75CF">
        <w:trPr>
          <w:trHeight w:val="1547"/>
        </w:trPr>
        <w:tc>
          <w:tcPr>
            <w:tcW w:w="545" w:type="pct"/>
            <w:vMerge/>
            <w:shd w:val="clear" w:color="auto" w:fill="auto"/>
            <w:vAlign w:val="center"/>
          </w:tcPr>
          <w:p w:rsidR="00C03908" w:rsidRPr="009C3E83" w:rsidRDefault="00C03908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C03908" w:rsidRPr="009C3E83" w:rsidRDefault="00C03908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C03908" w:rsidRPr="009C3E83" w:rsidRDefault="00C03908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788" w:type="pct"/>
            <w:shd w:val="clear" w:color="auto" w:fill="auto"/>
            <w:vAlign w:val="center"/>
          </w:tcPr>
          <w:p w:rsidR="00C03908" w:rsidRPr="009C3E83" w:rsidRDefault="00C03908" w:rsidP="00B850E4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Las contrataciones de servicios personales señalando el nombre del prestad</w:t>
            </w:r>
            <w:r w:rsidR="005C322B">
              <w:rPr>
                <w:rFonts w:ascii="Microsoft Sans Serif" w:eastAsia="Times New Roman" w:hAnsi="Microsoft Sans Serif" w:cs="Microsoft Sans Serif"/>
                <w:color w:val="2F2F2F"/>
              </w:rPr>
              <w:t xml:space="preserve">or del servicio, objeto, monto y </w:t>
            </w: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vigencia del contrato de los órganos de gobierno, Comisiones, Comités, Grupos Parlamentarios y centros de estudio u órganos de investigación.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03908" w:rsidRPr="009C3E83" w:rsidRDefault="00C03908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03908" w:rsidRPr="009C3E83" w:rsidRDefault="00C03908" w:rsidP="00DE75CF">
            <w:pPr>
              <w:ind w:firstLine="63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C03908" w:rsidRPr="009C3E83" w:rsidTr="00DE75CF">
        <w:tc>
          <w:tcPr>
            <w:tcW w:w="545" w:type="pct"/>
            <w:vMerge/>
            <w:shd w:val="clear" w:color="auto" w:fill="auto"/>
            <w:vAlign w:val="center"/>
          </w:tcPr>
          <w:p w:rsidR="00C03908" w:rsidRPr="009C3E83" w:rsidRDefault="00C03908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C03908" w:rsidRPr="009C3E83" w:rsidRDefault="00C03908" w:rsidP="003406E1">
            <w:pPr>
              <w:ind w:firstLine="63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C03908" w:rsidRPr="009C3E83" w:rsidRDefault="00C03908" w:rsidP="003406E1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788" w:type="pct"/>
            <w:shd w:val="clear" w:color="auto" w:fill="auto"/>
            <w:vAlign w:val="center"/>
          </w:tcPr>
          <w:p w:rsidR="00C03908" w:rsidRPr="009C3E83" w:rsidRDefault="00F655B3" w:rsidP="00B850E4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El informe semestral del ejercicio presupuestal del uso y destino de los recursos financieros de los órganos de gobierno, Comisiones, Comités, Grupos Parlamentarios y centros de estudio u órganos de investigación</w:t>
            </w:r>
            <w:r w:rsidR="002508DD">
              <w:rPr>
                <w:rFonts w:ascii="Microsoft Sans Serif" w:eastAsia="Times New Roman" w:hAnsi="Microsoft Sans Serif" w:cs="Microsoft Sans Serif"/>
                <w:color w:val="2F2F2F"/>
              </w:rPr>
              <w:t>.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03908" w:rsidRPr="009C3E83" w:rsidRDefault="00C03908" w:rsidP="00C269F5">
            <w:pPr>
              <w:ind w:firstLine="63"/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03908" w:rsidRPr="009C3E83" w:rsidRDefault="002D59A3" w:rsidP="00DE75CF">
            <w:pPr>
              <w:ind w:firstLine="63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C03908" w:rsidRDefault="00C03908">
      <w:pPr>
        <w:rPr>
          <w:rFonts w:ascii="Microsoft Sans Serif" w:hAnsi="Microsoft Sans Serif" w:cs="Microsoft Sans Serif"/>
        </w:rPr>
      </w:pPr>
    </w:p>
    <w:p w:rsidR="00DE75CF" w:rsidRDefault="00DE75CF">
      <w:pPr>
        <w:rPr>
          <w:rFonts w:ascii="Microsoft Sans Serif" w:hAnsi="Microsoft Sans Serif" w:cs="Microsoft Sans Serif"/>
        </w:rPr>
      </w:pPr>
    </w:p>
    <w:p w:rsidR="00DE75CF" w:rsidRDefault="00DE75CF">
      <w:pPr>
        <w:rPr>
          <w:rFonts w:ascii="Microsoft Sans Serif" w:hAnsi="Microsoft Sans Serif" w:cs="Microsoft Sans Serif"/>
        </w:rPr>
      </w:pPr>
    </w:p>
    <w:p w:rsidR="00DE75CF" w:rsidRDefault="00DE75CF">
      <w:pPr>
        <w:rPr>
          <w:rFonts w:ascii="Microsoft Sans Serif" w:hAnsi="Microsoft Sans Serif" w:cs="Microsoft Sans Serif"/>
        </w:rPr>
      </w:pPr>
    </w:p>
    <w:p w:rsidR="00DE75CF" w:rsidRPr="009C3E83" w:rsidRDefault="00DE75CF">
      <w:pPr>
        <w:rPr>
          <w:rFonts w:ascii="Microsoft Sans Serif" w:hAnsi="Microsoft Sans Serif" w:cs="Microsoft Sans Serif"/>
        </w:rPr>
      </w:pPr>
    </w:p>
    <w:p w:rsidR="00C03908" w:rsidRPr="009C3E83" w:rsidRDefault="00C03908" w:rsidP="00C03908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625"/>
        <w:gridCol w:w="5844"/>
        <w:gridCol w:w="3567"/>
        <w:gridCol w:w="1782"/>
      </w:tblGrid>
      <w:tr w:rsidR="00F655B3" w:rsidRPr="009C3E83" w:rsidTr="00DE75CF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655B3" w:rsidRPr="009C3E83" w:rsidRDefault="00192CA6" w:rsidP="001C25A0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9C3E8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los sujetos obligados Artículo 65 de la Ley de Transparencia y Acceso a la Información Pública del Estado de Tlaxcala</w:t>
            </w:r>
          </w:p>
        </w:tc>
      </w:tr>
      <w:tr w:rsidR="00F655B3" w:rsidRPr="009C3E83" w:rsidTr="00DE75CF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1" w:type="pct"/>
            <w:gridSpan w:val="4"/>
            <w:shd w:val="clear" w:color="auto" w:fill="E5DFEC" w:themeFill="accent4" w:themeFillTint="33"/>
            <w:vAlign w:val="center"/>
          </w:tcPr>
          <w:p w:rsidR="00F655B3" w:rsidRPr="009C3E83" w:rsidRDefault="002643C6" w:rsidP="001C25A0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F655B3" w:rsidRPr="009C3E83" w:rsidTr="00DE75CF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" w:type="pct"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99" w:type="pct"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80" w:type="pct"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F655B3" w:rsidRPr="009C3E83" w:rsidTr="00DE75CF">
        <w:trPr>
          <w:trHeight w:val="2595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Poder Legislativo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Congreso del Estado de Tlaxcala</w:t>
            </w:r>
          </w:p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" w:type="pct"/>
            <w:vMerge w:val="restart"/>
            <w:shd w:val="clear" w:color="auto" w:fill="auto"/>
            <w:vAlign w:val="center"/>
          </w:tcPr>
          <w:p w:rsidR="00F655B3" w:rsidRPr="009C3E83" w:rsidRDefault="00F655B3" w:rsidP="001C25A0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:rsidR="00F655B3" w:rsidRPr="00B850E4" w:rsidRDefault="00F655B3" w:rsidP="00B850E4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Los resultados de los estudios o investigaciones de naturales económica, política y social que realicen los centros de estudio o investigación legislativa.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655B3" w:rsidRPr="009C3E83" w:rsidRDefault="00F655B3" w:rsidP="00C269F5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55B3" w:rsidRPr="009C3E83" w:rsidRDefault="00771796" w:rsidP="00DE75CF">
            <w:pPr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F655B3" w:rsidRPr="009C3E83" w:rsidTr="00DE75CF">
        <w:trPr>
          <w:trHeight w:val="1412"/>
        </w:trPr>
        <w:tc>
          <w:tcPr>
            <w:tcW w:w="580" w:type="pct"/>
            <w:vMerge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:rsidR="00F655B3" w:rsidRPr="00B850E4" w:rsidRDefault="00F655B3" w:rsidP="00B850E4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El padrón de cabilderos, de acuerdo a la normatividad aplicable</w:t>
            </w:r>
            <w:r w:rsidR="002508DD">
              <w:rPr>
                <w:rFonts w:ascii="Microsoft Sans Serif" w:eastAsia="Times New Roman" w:hAnsi="Microsoft Sans Serif" w:cs="Microsoft Sans Serif"/>
                <w:color w:val="2F2F2F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655B3" w:rsidRPr="009C3E83" w:rsidRDefault="00F655B3" w:rsidP="00C269F5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55B3" w:rsidRPr="009C3E83" w:rsidRDefault="00771796" w:rsidP="00DE75CF">
            <w:pPr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  <w:tr w:rsidR="00F655B3" w:rsidRPr="009C3E83" w:rsidTr="00DE75CF">
        <w:trPr>
          <w:trHeight w:val="1547"/>
        </w:trPr>
        <w:tc>
          <w:tcPr>
            <w:tcW w:w="580" w:type="pct"/>
            <w:vMerge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" w:type="pct"/>
            <w:vMerge w:val="restart"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:rsidR="00F655B3" w:rsidRPr="009C3E83" w:rsidRDefault="00F655B3" w:rsidP="00B850E4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Nombres, fotografía y currículum vitae de los diputados, incluyendo los suplentes cuando éstos últimos asuman las funciones del propietario, así como las comisiones y comités a los que pertenecen.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655B3" w:rsidRPr="009C3E83" w:rsidRDefault="00F655B3" w:rsidP="00C269F5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55B3" w:rsidRPr="009C3E83" w:rsidRDefault="002D59A3" w:rsidP="00DE75CF">
            <w:pPr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Anual</w:t>
            </w:r>
          </w:p>
        </w:tc>
      </w:tr>
      <w:tr w:rsidR="00F655B3" w:rsidRPr="009C3E83" w:rsidTr="00DE75CF">
        <w:tc>
          <w:tcPr>
            <w:tcW w:w="580" w:type="pct"/>
            <w:vMerge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:rsidR="002D59A3" w:rsidRPr="002508DD" w:rsidRDefault="00771796" w:rsidP="00B850E4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Pr</w:t>
            </w:r>
            <w:r w:rsidR="005C322B">
              <w:rPr>
                <w:rFonts w:ascii="Microsoft Sans Serif" w:eastAsia="Times New Roman" w:hAnsi="Microsoft Sans Serif" w:cs="Microsoft Sans Serif"/>
                <w:color w:val="2F2F2F"/>
              </w:rPr>
              <w:t>ograma anual de trabajo de los ó</w:t>
            </w: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rganos técnico</w:t>
            </w:r>
            <w:r w:rsidR="002508DD">
              <w:rPr>
                <w:rFonts w:ascii="Microsoft Sans Serif" w:eastAsia="Times New Roman" w:hAnsi="Microsoft Sans Serif" w:cs="Microsoft Sans Serif"/>
                <w:color w:val="2F2F2F"/>
              </w:rPr>
              <w:t>-</w:t>
            </w: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ad</w:t>
            </w:r>
            <w:r w:rsidR="005C322B">
              <w:rPr>
                <w:rFonts w:ascii="Microsoft Sans Serif" w:eastAsia="Times New Roman" w:hAnsi="Microsoft Sans Serif" w:cs="Microsoft Sans Serif"/>
                <w:color w:val="2F2F2F"/>
              </w:rPr>
              <w:t>ministrativo del Congreso del E</w:t>
            </w: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stado, organigrama e informe anual de actividades.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655B3" w:rsidRPr="009C3E83" w:rsidRDefault="00F655B3" w:rsidP="00C269F5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55B3" w:rsidRPr="009C3E83" w:rsidRDefault="002D59A3" w:rsidP="00DE75CF">
            <w:pPr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F655B3" w:rsidRDefault="00F655B3" w:rsidP="00F655B3">
      <w:pPr>
        <w:rPr>
          <w:rFonts w:ascii="Microsoft Sans Serif" w:hAnsi="Microsoft Sans Serif" w:cs="Microsoft Sans Serif"/>
        </w:rPr>
      </w:pPr>
    </w:p>
    <w:p w:rsidR="00DE75CF" w:rsidRDefault="00DE75CF" w:rsidP="00F655B3">
      <w:pPr>
        <w:rPr>
          <w:rFonts w:ascii="Microsoft Sans Serif" w:hAnsi="Microsoft Sans Serif" w:cs="Microsoft Sans Serif"/>
        </w:rPr>
      </w:pPr>
    </w:p>
    <w:p w:rsidR="00DE75CF" w:rsidRDefault="00DE75CF" w:rsidP="00F655B3">
      <w:pPr>
        <w:rPr>
          <w:rFonts w:ascii="Microsoft Sans Serif" w:hAnsi="Microsoft Sans Serif" w:cs="Microsoft Sans Serif"/>
        </w:rPr>
      </w:pPr>
    </w:p>
    <w:p w:rsidR="00DE75CF" w:rsidRDefault="00DE75CF" w:rsidP="00F655B3">
      <w:pPr>
        <w:rPr>
          <w:rFonts w:ascii="Microsoft Sans Serif" w:hAnsi="Microsoft Sans Serif" w:cs="Microsoft Sans Serif"/>
        </w:rPr>
      </w:pPr>
    </w:p>
    <w:p w:rsidR="00DE75CF" w:rsidRPr="009C3E83" w:rsidRDefault="00DE75CF" w:rsidP="00F655B3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625"/>
        <w:gridCol w:w="5844"/>
        <w:gridCol w:w="3567"/>
        <w:gridCol w:w="1782"/>
      </w:tblGrid>
      <w:tr w:rsidR="00F655B3" w:rsidRPr="009C3E83" w:rsidTr="00DE75CF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655B3" w:rsidRPr="009C3E83" w:rsidRDefault="00192CA6" w:rsidP="001C25A0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9C3E8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los sujetos obligados Artículo 65 de la Ley de Transparencia y Acceso a la Información Pública del Estado de Tlaxcala</w:t>
            </w:r>
          </w:p>
        </w:tc>
      </w:tr>
      <w:tr w:rsidR="00F655B3" w:rsidRPr="009C3E83" w:rsidTr="00DE75CF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1" w:type="pct"/>
            <w:gridSpan w:val="4"/>
            <w:shd w:val="clear" w:color="auto" w:fill="E5DFEC" w:themeFill="accent4" w:themeFillTint="33"/>
            <w:vAlign w:val="center"/>
          </w:tcPr>
          <w:p w:rsidR="00F655B3" w:rsidRPr="009C3E83" w:rsidRDefault="002643C6" w:rsidP="001C25A0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F655B3" w:rsidRPr="009C3E83" w:rsidTr="00DE75CF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" w:type="pct"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99" w:type="pct"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80" w:type="pct"/>
            <w:shd w:val="clear" w:color="auto" w:fill="E5DFEC" w:themeFill="accent4" w:themeFillTint="33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F655B3" w:rsidRPr="009C3E83" w:rsidTr="00DE75CF">
        <w:trPr>
          <w:trHeight w:val="2595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Poder Legislativo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Congreso del Estado de Tlaxcala</w:t>
            </w:r>
          </w:p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" w:type="pct"/>
            <w:vMerge w:val="restart"/>
            <w:shd w:val="clear" w:color="auto" w:fill="auto"/>
            <w:vAlign w:val="center"/>
          </w:tcPr>
          <w:p w:rsidR="00F655B3" w:rsidRPr="009C3E83" w:rsidRDefault="00F655B3" w:rsidP="001C25A0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:rsidR="002508DD" w:rsidRPr="00B850E4" w:rsidRDefault="00771796" w:rsidP="00B850E4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 xml:space="preserve">Informe de los viajes oficiales, nacionales y al extranjero, de los </w:t>
            </w:r>
            <w:r w:rsidR="002508DD">
              <w:rPr>
                <w:rFonts w:ascii="Microsoft Sans Serif" w:eastAsia="Times New Roman" w:hAnsi="Microsoft Sans Serif" w:cs="Microsoft Sans Serif"/>
                <w:color w:val="2F2F2F"/>
              </w:rPr>
              <w:t>D</w:t>
            </w: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iputados, o del personal de los órganos técnico-administrativos.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655B3" w:rsidRPr="009C3E83" w:rsidRDefault="00F655B3" w:rsidP="00C269F5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55B3" w:rsidRPr="009C3E83" w:rsidRDefault="00771796" w:rsidP="001C25A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F655B3" w:rsidRPr="009C3E83" w:rsidTr="00DE75CF">
        <w:trPr>
          <w:trHeight w:val="1412"/>
        </w:trPr>
        <w:tc>
          <w:tcPr>
            <w:tcW w:w="580" w:type="pct"/>
            <w:vMerge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</w:tcPr>
          <w:p w:rsidR="00F655B3" w:rsidRPr="009C3E83" w:rsidRDefault="00F655B3" w:rsidP="001C25A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:rsidR="002508DD" w:rsidRPr="00B850E4" w:rsidRDefault="00771796" w:rsidP="00B850E4">
            <w:pPr>
              <w:pStyle w:val="Prrafodelista"/>
              <w:numPr>
                <w:ilvl w:val="0"/>
                <w:numId w:val="1"/>
              </w:numPr>
              <w:ind w:firstLine="63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Los demás informes que deban presentarse conforme a la Ley Orgá</w:t>
            </w:r>
            <w:r w:rsidR="002508DD">
              <w:rPr>
                <w:rFonts w:ascii="Microsoft Sans Serif" w:eastAsia="Times New Roman" w:hAnsi="Microsoft Sans Serif" w:cs="Microsoft Sans Serif"/>
                <w:color w:val="2F2F2F"/>
              </w:rPr>
              <w:t>nica del Poder Legislativo del E</w:t>
            </w: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stado de Tlaxcala y el Reglam</w:t>
            </w:r>
            <w:r w:rsidR="005C322B">
              <w:rPr>
                <w:rFonts w:ascii="Microsoft Sans Serif" w:eastAsia="Times New Roman" w:hAnsi="Microsoft Sans Serif" w:cs="Microsoft Sans Serif"/>
                <w:color w:val="2F2F2F"/>
              </w:rPr>
              <w:t>ento Interior del Congreso del E</w:t>
            </w: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stado de Tlaxcala.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655B3" w:rsidRPr="009C3E83" w:rsidRDefault="00F655B3" w:rsidP="00C269F5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55B3" w:rsidRPr="009C3E83" w:rsidRDefault="00771796" w:rsidP="001C25A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</w:tbl>
    <w:p w:rsidR="00490FE5" w:rsidRPr="009C3E83" w:rsidRDefault="00490FE5">
      <w:pPr>
        <w:rPr>
          <w:rFonts w:ascii="Microsoft Sans Serif" w:hAnsi="Microsoft Sans Serif" w:cs="Microsoft Sans Serif"/>
        </w:rPr>
      </w:pPr>
    </w:p>
    <w:p w:rsidR="00490FE5" w:rsidRPr="009C3E83" w:rsidRDefault="00490FE5">
      <w:pPr>
        <w:rPr>
          <w:rFonts w:ascii="Microsoft Sans Serif" w:hAnsi="Microsoft Sans Serif" w:cs="Microsoft Sans Serif"/>
        </w:rPr>
      </w:pPr>
      <w:r w:rsidRPr="009C3E83">
        <w:rPr>
          <w:rFonts w:ascii="Microsoft Sans Serif" w:hAnsi="Microsoft Sans Serif" w:cs="Microsoft Sans Serif"/>
        </w:rPr>
        <w:br w:type="page"/>
      </w:r>
    </w:p>
    <w:p w:rsidR="00490FE5" w:rsidRPr="009C3E83" w:rsidRDefault="00490FE5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1933"/>
        <w:gridCol w:w="4539"/>
        <w:gridCol w:w="3567"/>
        <w:gridCol w:w="1779"/>
      </w:tblGrid>
      <w:tr w:rsidR="00490FE5" w:rsidRPr="009C3E83" w:rsidTr="00DE75CF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90FE5" w:rsidRPr="009C3E83" w:rsidRDefault="00490FE5" w:rsidP="00745B4E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9C3E8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los sujetos obligados Artículo 94 de la Ley de Transparencia y Acceso a la Información Pública del Estado de Tlaxcala</w:t>
            </w:r>
          </w:p>
        </w:tc>
      </w:tr>
      <w:tr w:rsidR="00490FE5" w:rsidRPr="009C3E83" w:rsidTr="00DE75CF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490FE5" w:rsidRPr="009C3E83" w:rsidRDefault="00490FE5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490FE5" w:rsidRPr="009C3E83" w:rsidRDefault="00490FE5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1" w:type="pct"/>
            <w:gridSpan w:val="4"/>
            <w:shd w:val="clear" w:color="auto" w:fill="E5DFEC" w:themeFill="accent4" w:themeFillTint="33"/>
            <w:vAlign w:val="center"/>
          </w:tcPr>
          <w:p w:rsidR="00490FE5" w:rsidRPr="009C3E83" w:rsidRDefault="002643C6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490FE5" w:rsidRPr="009C3E83" w:rsidTr="00DE75CF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490FE5" w:rsidRPr="009C3E83" w:rsidRDefault="00490FE5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490FE5" w:rsidRPr="009C3E83" w:rsidRDefault="00490FE5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8" w:type="pct"/>
            <w:shd w:val="clear" w:color="auto" w:fill="E5DFEC" w:themeFill="accent4" w:themeFillTint="33"/>
            <w:vAlign w:val="center"/>
          </w:tcPr>
          <w:p w:rsidR="00490FE5" w:rsidRPr="009C3E83" w:rsidRDefault="00490FE5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475" w:type="pct"/>
            <w:shd w:val="clear" w:color="auto" w:fill="E5DFEC" w:themeFill="accent4" w:themeFillTint="33"/>
            <w:vAlign w:val="center"/>
          </w:tcPr>
          <w:p w:rsidR="00490FE5" w:rsidRPr="009C3E83" w:rsidRDefault="00490FE5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490FE5" w:rsidRPr="009C3E83" w:rsidRDefault="00490FE5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80" w:type="pct"/>
            <w:shd w:val="clear" w:color="auto" w:fill="E5DFEC" w:themeFill="accent4" w:themeFillTint="33"/>
            <w:vAlign w:val="center"/>
          </w:tcPr>
          <w:p w:rsidR="00490FE5" w:rsidRPr="009C3E83" w:rsidRDefault="00490FE5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9C3E83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490FE5" w:rsidRPr="009C3E83" w:rsidTr="00DE75CF">
        <w:trPr>
          <w:trHeight w:val="2595"/>
        </w:trPr>
        <w:tc>
          <w:tcPr>
            <w:tcW w:w="580" w:type="pct"/>
            <w:shd w:val="clear" w:color="auto" w:fill="auto"/>
            <w:vAlign w:val="center"/>
          </w:tcPr>
          <w:p w:rsidR="00490FE5" w:rsidRPr="009C3E83" w:rsidRDefault="00490FE5" w:rsidP="00490FE5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Poder Legislativo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90FE5" w:rsidRPr="009C3E83" w:rsidRDefault="00490FE5" w:rsidP="00490FE5">
            <w:pPr>
              <w:jc w:val="center"/>
              <w:rPr>
                <w:rFonts w:ascii="Microsoft Sans Serif" w:hAnsi="Microsoft Sans Serif" w:cs="Microsoft Sans Serif"/>
              </w:rPr>
            </w:pPr>
            <w:r w:rsidRPr="009C3E83">
              <w:rPr>
                <w:rFonts w:ascii="Microsoft Sans Serif" w:hAnsi="Microsoft Sans Serif" w:cs="Microsoft Sans Serif"/>
              </w:rPr>
              <w:t>Congreso del Estado de Tlaxcala</w:t>
            </w:r>
          </w:p>
          <w:p w:rsidR="00490FE5" w:rsidRPr="009C3E83" w:rsidRDefault="00490FE5" w:rsidP="00490FE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490FE5" w:rsidRPr="009C3E83" w:rsidRDefault="00490FE5" w:rsidP="00C269F5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hAnsi="Microsoft Sans Serif" w:cs="Microsoft Sans Serif"/>
              </w:rPr>
              <w:t>Única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490FE5" w:rsidRPr="009C3E83" w:rsidRDefault="00490FE5" w:rsidP="00490FE5">
            <w:pPr>
              <w:pStyle w:val="Style5"/>
              <w:widowControl/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9C3E83">
              <w:rPr>
                <w:rFonts w:ascii="Microsoft Sans Serif" w:hAnsi="Microsoft Sans Serif" w:cs="Microsoft Sans Serif"/>
                <w:sz w:val="22"/>
                <w:szCs w:val="22"/>
              </w:rPr>
              <w:t>Cada área de los sujetos obligados elaborará un índice de los expedientes clasificados como reservados, por área responsable de la información y tema</w:t>
            </w:r>
            <w:r w:rsidR="00CB1242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490FE5" w:rsidRPr="009C3E83" w:rsidRDefault="00490FE5" w:rsidP="00C269F5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90FE5" w:rsidRPr="009C3E83" w:rsidRDefault="00490FE5" w:rsidP="00490FE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C3E83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1524C1" w:rsidRPr="009C3E83" w:rsidRDefault="001524C1" w:rsidP="00C03908">
      <w:pPr>
        <w:rPr>
          <w:rFonts w:ascii="Microsoft Sans Serif" w:hAnsi="Microsoft Sans Serif" w:cs="Microsoft Sans Serif"/>
        </w:rPr>
      </w:pPr>
    </w:p>
    <w:sectPr w:rsidR="001524C1" w:rsidRPr="009C3E83" w:rsidSect="00DE75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1A" w:rsidRDefault="00CF141A" w:rsidP="00C03908">
      <w:pPr>
        <w:spacing w:after="0" w:line="240" w:lineRule="auto"/>
      </w:pPr>
      <w:r>
        <w:separator/>
      </w:r>
    </w:p>
  </w:endnote>
  <w:endnote w:type="continuationSeparator" w:id="0">
    <w:p w:rsidR="00CF141A" w:rsidRDefault="00CF141A" w:rsidP="00C0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1A" w:rsidRDefault="00CF141A" w:rsidP="00C03908">
      <w:pPr>
        <w:spacing w:after="0" w:line="240" w:lineRule="auto"/>
      </w:pPr>
      <w:r>
        <w:separator/>
      </w:r>
    </w:p>
  </w:footnote>
  <w:footnote w:type="continuationSeparator" w:id="0">
    <w:p w:rsidR="00CF141A" w:rsidRDefault="00CF141A" w:rsidP="00C0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C6E"/>
    <w:multiLevelType w:val="hybridMultilevel"/>
    <w:tmpl w:val="1FE63238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3EB"/>
    <w:multiLevelType w:val="hybridMultilevel"/>
    <w:tmpl w:val="1E68FF26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27E"/>
    <w:multiLevelType w:val="hybridMultilevel"/>
    <w:tmpl w:val="1FE63238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58CA"/>
    <w:multiLevelType w:val="hybridMultilevel"/>
    <w:tmpl w:val="1FE63238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25849"/>
    <w:multiLevelType w:val="hybridMultilevel"/>
    <w:tmpl w:val="1E68FF26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00DE7"/>
    <w:rsid w:val="00072D5F"/>
    <w:rsid w:val="00114401"/>
    <w:rsid w:val="001524C1"/>
    <w:rsid w:val="00192CA6"/>
    <w:rsid w:val="002508DD"/>
    <w:rsid w:val="002643C6"/>
    <w:rsid w:val="00292341"/>
    <w:rsid w:val="002B7949"/>
    <w:rsid w:val="002C6593"/>
    <w:rsid w:val="002D59A3"/>
    <w:rsid w:val="002E603E"/>
    <w:rsid w:val="00334128"/>
    <w:rsid w:val="00335A5C"/>
    <w:rsid w:val="003406E1"/>
    <w:rsid w:val="003D38B5"/>
    <w:rsid w:val="003D7F1B"/>
    <w:rsid w:val="003E3625"/>
    <w:rsid w:val="0041574C"/>
    <w:rsid w:val="00445002"/>
    <w:rsid w:val="0046306B"/>
    <w:rsid w:val="004668E7"/>
    <w:rsid w:val="00490FE5"/>
    <w:rsid w:val="0049694D"/>
    <w:rsid w:val="004A1B08"/>
    <w:rsid w:val="005C322B"/>
    <w:rsid w:val="0062194F"/>
    <w:rsid w:val="007641C4"/>
    <w:rsid w:val="00771796"/>
    <w:rsid w:val="007B7824"/>
    <w:rsid w:val="00844A26"/>
    <w:rsid w:val="008C5039"/>
    <w:rsid w:val="008C6B74"/>
    <w:rsid w:val="009803AF"/>
    <w:rsid w:val="009A0B01"/>
    <w:rsid w:val="009A4731"/>
    <w:rsid w:val="009C3E83"/>
    <w:rsid w:val="009E1D86"/>
    <w:rsid w:val="009E736A"/>
    <w:rsid w:val="00A023E3"/>
    <w:rsid w:val="00A52BA5"/>
    <w:rsid w:val="00AA00C7"/>
    <w:rsid w:val="00AC065A"/>
    <w:rsid w:val="00B002C4"/>
    <w:rsid w:val="00B027A2"/>
    <w:rsid w:val="00B261C1"/>
    <w:rsid w:val="00B850E4"/>
    <w:rsid w:val="00BD2716"/>
    <w:rsid w:val="00BF3034"/>
    <w:rsid w:val="00C03908"/>
    <w:rsid w:val="00C03CB2"/>
    <w:rsid w:val="00C269F5"/>
    <w:rsid w:val="00CA1DFC"/>
    <w:rsid w:val="00CB1242"/>
    <w:rsid w:val="00CC5B47"/>
    <w:rsid w:val="00CF141A"/>
    <w:rsid w:val="00D0782B"/>
    <w:rsid w:val="00D12002"/>
    <w:rsid w:val="00DD5578"/>
    <w:rsid w:val="00DE75CF"/>
    <w:rsid w:val="00E23A0A"/>
    <w:rsid w:val="00E60367"/>
    <w:rsid w:val="00E64A95"/>
    <w:rsid w:val="00EE6CCE"/>
    <w:rsid w:val="00EF386B"/>
    <w:rsid w:val="00F655B3"/>
    <w:rsid w:val="00F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F5136-0D99-49DB-BDCD-08E174E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9E1D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3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908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03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908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F7F5-5F87-4DD7-AC8B-A0C6AF09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Dir-Capacitacion</dc:creator>
  <cp:lastModifiedBy>Lic Xenia</cp:lastModifiedBy>
  <cp:revision>3</cp:revision>
  <dcterms:created xsi:type="dcterms:W3CDTF">2018-04-09T19:25:00Z</dcterms:created>
  <dcterms:modified xsi:type="dcterms:W3CDTF">2018-04-09T19:25:00Z</dcterms:modified>
</cp:coreProperties>
</file>